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F1EC" w14:textId="77777777" w:rsidR="003951F2" w:rsidRDefault="003951F2" w:rsidP="007242A9">
      <w:pPr>
        <w:adjustRightInd/>
        <w:spacing w:after="0" w:line="28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河北大学本科课程考核试卷质量与管理评价表</w:t>
      </w:r>
    </w:p>
    <w:p w14:paraId="4ED7A7A7" w14:textId="77777777" w:rsidR="003951F2" w:rsidRPr="00DE5E35" w:rsidRDefault="003951F2" w:rsidP="007242A9">
      <w:pPr>
        <w:adjustRightInd/>
        <w:spacing w:after="0" w:line="288" w:lineRule="auto"/>
        <w:jc w:val="center"/>
        <w:rPr>
          <w:rFonts w:ascii="楷体" w:eastAsia="楷体" w:hAnsi="楷体"/>
          <w:bCs/>
          <w:sz w:val="30"/>
          <w:szCs w:val="30"/>
        </w:rPr>
      </w:pPr>
      <w:r w:rsidRPr="00DE5E35">
        <w:rPr>
          <w:rFonts w:ascii="楷体" w:eastAsia="楷体" w:hAnsi="楷体" w:hint="eastAsia"/>
          <w:bCs/>
          <w:sz w:val="30"/>
          <w:szCs w:val="30"/>
        </w:rPr>
        <w:t>（</w:t>
      </w:r>
      <w:r w:rsidR="00D86C47" w:rsidRPr="00DE5E35">
        <w:rPr>
          <w:rFonts w:ascii="楷体" w:eastAsia="楷体" w:hAnsi="楷体" w:hint="eastAsia"/>
          <w:bCs/>
          <w:sz w:val="30"/>
          <w:szCs w:val="30"/>
        </w:rPr>
        <w:t>计算机</w:t>
      </w:r>
      <w:r w:rsidR="00070B06" w:rsidRPr="00DE5E35">
        <w:rPr>
          <w:rFonts w:ascii="楷体" w:eastAsia="楷体" w:hAnsi="楷体" w:hint="eastAsia"/>
          <w:bCs/>
          <w:sz w:val="30"/>
          <w:szCs w:val="30"/>
        </w:rPr>
        <w:t>类课程适用</w:t>
      </w:r>
      <w:r w:rsidRPr="00DE5E35">
        <w:rPr>
          <w:rFonts w:ascii="楷体" w:eastAsia="楷体" w:hAnsi="楷体" w:hint="eastAsia"/>
          <w:bCs/>
          <w:sz w:val="30"/>
          <w:szCs w:val="30"/>
        </w:rPr>
        <w:t>）</w:t>
      </w:r>
    </w:p>
    <w:p w14:paraId="42477EFF" w14:textId="2A584FCF" w:rsidR="003951F2" w:rsidRPr="00311FF5" w:rsidRDefault="003951F2" w:rsidP="0001233B">
      <w:pPr>
        <w:adjustRightInd/>
        <w:spacing w:after="0" w:line="360" w:lineRule="auto"/>
        <w:rPr>
          <w:rFonts w:ascii="黑体" w:eastAsia="黑体" w:hAnsi="宋体"/>
          <w:bCs/>
          <w:sz w:val="24"/>
          <w:szCs w:val="24"/>
        </w:rPr>
      </w:pPr>
      <w:r>
        <w:rPr>
          <w:rFonts w:ascii="黑体" w:eastAsia="黑体" w:hAnsi="宋体" w:hint="eastAsia"/>
          <w:bCs/>
          <w:sz w:val="24"/>
          <w:szCs w:val="24"/>
        </w:rPr>
        <w:t>学院：</w:t>
      </w:r>
      <w:r w:rsidR="00781A5E">
        <w:rPr>
          <w:rFonts w:ascii="黑体" w:eastAsia="黑体" w:hAnsi="宋体" w:hint="eastAsia"/>
          <w:bCs/>
          <w:sz w:val="24"/>
          <w:szCs w:val="24"/>
        </w:rPr>
        <w:t>计算机教学部</w:t>
      </w:r>
      <w:r>
        <w:rPr>
          <w:rFonts w:ascii="黑体" w:eastAsia="黑体" w:hAnsi="宋体"/>
          <w:bCs/>
          <w:sz w:val="24"/>
          <w:szCs w:val="24"/>
        </w:rPr>
        <w:t xml:space="preserve">         </w:t>
      </w:r>
      <w:r w:rsidR="00781A5E">
        <w:rPr>
          <w:rFonts w:ascii="黑体" w:eastAsia="黑体" w:hAnsi="宋体"/>
          <w:bCs/>
          <w:sz w:val="24"/>
          <w:szCs w:val="24"/>
        </w:rPr>
        <w:t xml:space="preserve">  </w:t>
      </w:r>
      <w:r w:rsidRPr="00311FF5">
        <w:rPr>
          <w:rFonts w:ascii="黑体" w:eastAsia="黑体" w:hAnsi="宋体" w:hint="eastAsia"/>
          <w:bCs/>
          <w:sz w:val="24"/>
          <w:szCs w:val="24"/>
        </w:rPr>
        <w:t>课程名称：</w:t>
      </w:r>
      <w:r w:rsidRPr="00311FF5">
        <w:rPr>
          <w:rFonts w:ascii="黑体" w:eastAsia="黑体" w:hAnsi="宋体"/>
          <w:bCs/>
          <w:sz w:val="24"/>
          <w:szCs w:val="24"/>
        </w:rPr>
        <w:t xml:space="preserve">  </w:t>
      </w:r>
      <w:r>
        <w:rPr>
          <w:rFonts w:ascii="黑体" w:eastAsia="黑体" w:hAnsi="宋体"/>
          <w:bCs/>
          <w:sz w:val="24"/>
          <w:szCs w:val="24"/>
        </w:rPr>
        <w:t xml:space="preserve">              </w:t>
      </w:r>
      <w:r w:rsidRPr="00311FF5">
        <w:rPr>
          <w:rFonts w:ascii="黑体" w:eastAsia="黑体" w:hAnsi="宋体" w:hint="eastAsia"/>
          <w:bCs/>
          <w:sz w:val="24"/>
          <w:szCs w:val="24"/>
        </w:rPr>
        <w:t>任课教师</w:t>
      </w:r>
      <w:r>
        <w:rPr>
          <w:rFonts w:ascii="黑体" w:eastAsia="黑体" w:hAnsi="宋体" w:hint="eastAsia"/>
          <w:bCs/>
          <w:sz w:val="24"/>
          <w:szCs w:val="24"/>
        </w:rPr>
        <w:t>：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526"/>
        <w:gridCol w:w="1740"/>
        <w:gridCol w:w="1740"/>
        <w:gridCol w:w="1790"/>
        <w:gridCol w:w="1039"/>
        <w:gridCol w:w="653"/>
      </w:tblGrid>
      <w:tr w:rsidR="003951F2" w:rsidRPr="001544B3" w14:paraId="53D2A670" w14:textId="77777777" w:rsidTr="007242A9">
        <w:trPr>
          <w:cantSplit/>
          <w:trHeight w:val="283"/>
          <w:tblHeader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CF6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评估指标</w:t>
            </w:r>
          </w:p>
        </w:tc>
        <w:tc>
          <w:tcPr>
            <w:tcW w:w="5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6C86A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C8C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DF23C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评分</w:t>
            </w:r>
          </w:p>
        </w:tc>
      </w:tr>
      <w:tr w:rsidR="003951F2" w:rsidRPr="001544B3" w14:paraId="0FFEE919" w14:textId="77777777" w:rsidTr="00811E8A">
        <w:trPr>
          <w:cantSplit/>
          <w:trHeight w:val="274"/>
          <w:tblHeader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AD5" w14:textId="77777777" w:rsidR="003951F2" w:rsidRPr="00B84D0D" w:rsidRDefault="003951F2" w:rsidP="007264B6">
            <w:pPr>
              <w:spacing w:after="0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bCs/>
                <w:sz w:val="18"/>
                <w:szCs w:val="18"/>
              </w:rPr>
              <w:t>一级指标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68C" w14:textId="77777777" w:rsidR="003951F2" w:rsidRPr="00B84D0D" w:rsidRDefault="003951F2" w:rsidP="007264B6">
            <w:pPr>
              <w:spacing w:after="0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bCs/>
                <w:sz w:val="18"/>
                <w:szCs w:val="18"/>
              </w:rPr>
              <w:t>二级指标</w:t>
            </w:r>
          </w:p>
        </w:tc>
        <w:tc>
          <w:tcPr>
            <w:tcW w:w="5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22E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6D4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60DDF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</w:tr>
      <w:tr w:rsidR="003951F2" w:rsidRPr="001544B3" w14:paraId="1A7118FC" w14:textId="77777777" w:rsidTr="00811E8A">
        <w:trPr>
          <w:cantSplit/>
          <w:trHeight w:val="468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129B1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结课考核</w:t>
            </w:r>
          </w:p>
          <w:p w14:paraId="7BE93B52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试卷命题</w:t>
            </w:r>
          </w:p>
          <w:p w14:paraId="3D95B8B1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质量</w:t>
            </w:r>
          </w:p>
          <w:p w14:paraId="33DB3A8A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（</w:t>
            </w:r>
            <w:r w:rsidRPr="001544B3">
              <w:rPr>
                <w:rFonts w:ascii="黑体" w:eastAsia="黑体" w:hAnsi="宋体"/>
                <w:b/>
                <w:bCs/>
                <w:sz w:val="21"/>
                <w:szCs w:val="21"/>
              </w:rPr>
              <w:t>50</w:t>
            </w: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8A9C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试题覆盖面</w:t>
            </w:r>
          </w:p>
          <w:p w14:paraId="450F71A4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与难易度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ADD" w14:textId="77777777" w:rsidR="003951F2" w:rsidRPr="00B84D0D" w:rsidRDefault="003951F2" w:rsidP="00574EBB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试题能够覆盖该课程主要</w:t>
            </w:r>
            <w:r w:rsidR="00574EBB" w:rsidRPr="00B84D0D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内容与知识点</w:t>
            </w:r>
            <w:r w:rsidRPr="00B84D0D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，反映教学大纲基本要求；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试题份量适当，难易适度。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BC4" w14:textId="7A1E2B68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0253B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28557E22" w14:textId="77777777" w:rsidTr="00811E8A">
        <w:trPr>
          <w:cantSplit/>
          <w:trHeight w:val="561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7FD83922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965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试题类型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BDE7" w14:textId="77777777" w:rsidR="003951F2" w:rsidRPr="00B84D0D" w:rsidRDefault="003951F2" w:rsidP="00574EBB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pacing w:val="15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pacing w:val="15"/>
                <w:sz w:val="18"/>
                <w:szCs w:val="18"/>
              </w:rPr>
              <w:t>试题类型符合学校规范，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应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包括基本题、综合题和提高题，主观题和客观题比例恰当。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1F7" w14:textId="7274264C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6194D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D906C69" w14:textId="77777777" w:rsidTr="00811E8A">
        <w:trPr>
          <w:cantSplit/>
          <w:trHeight w:val="409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72D4B783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2A2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命题规范性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F69" w14:textId="77777777" w:rsidR="003951F2" w:rsidRPr="00B84D0D" w:rsidRDefault="003951F2" w:rsidP="00574EBB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试题表达清楚、完整、准确、简明，图表清晰、规范，无内容错误；试题之间彼此独立，无暗示本题或其他题答案的线索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。使用统一试卷考试时，</w:t>
            </w:r>
            <w:r w:rsidRPr="00B84D0D">
              <w:rPr>
                <w:rFonts w:ascii="楷体" w:eastAsia="楷体" w:hAnsi="楷体"/>
                <w:sz w:val="18"/>
                <w:szCs w:val="18"/>
              </w:rPr>
              <w:t>A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、</w:t>
            </w:r>
            <w:r w:rsidRPr="00B84D0D">
              <w:rPr>
                <w:rFonts w:ascii="楷体" w:eastAsia="楷体" w:hAnsi="楷体"/>
                <w:sz w:val="18"/>
                <w:szCs w:val="18"/>
              </w:rPr>
              <w:t>B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卷试题重复率不超过</w:t>
            </w:r>
            <w:r w:rsidRPr="00B84D0D">
              <w:rPr>
                <w:rFonts w:ascii="楷体" w:eastAsia="楷体" w:hAnsi="楷体"/>
                <w:sz w:val="18"/>
                <w:szCs w:val="18"/>
              </w:rPr>
              <w:t>15%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；使用题库随机组卷考试时，题库中试题总数应超过一份试卷试题总数的6倍。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A9A" w14:textId="6CEE2991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3D45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6B246991" w14:textId="77777777" w:rsidTr="00811E8A">
        <w:trPr>
          <w:cantSplit/>
          <w:trHeight w:val="618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289BEB03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71A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参考答案与</w:t>
            </w:r>
          </w:p>
          <w:p w14:paraId="39187F16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评分标准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322" w14:textId="77777777" w:rsidR="003951F2" w:rsidRPr="00B84D0D" w:rsidRDefault="003951F2" w:rsidP="007407F7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试题有符合学校规范要求的参考答案和评分标准（含满分值）；参考答案和评分标准打印准确、规范，无错误。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A57" w14:textId="07BD988A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E59B6" w14:textId="77777777" w:rsidR="003951F2" w:rsidRPr="001544B3" w:rsidRDefault="003951F2" w:rsidP="007264B6">
            <w:pPr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2B34D587" w14:textId="77777777" w:rsidTr="00811E8A">
        <w:trPr>
          <w:cantSplit/>
          <w:trHeight w:val="584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6EF2C055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301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命题程序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0D61" w14:textId="77777777" w:rsidR="003951F2" w:rsidRPr="00B84D0D" w:rsidRDefault="003951F2" w:rsidP="005001C1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严格执行命题程序，系主任和主管教学领导认真审核命题、参考答案与评分标准的质量和规范、考核方式、考试时间长度，期末成绩与平时成绩占比等规定内容；《河北大学试题（卷）》审批表》有审核人员的亲笔签名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15B" w14:textId="0F91992A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05835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08B6F17C" w14:textId="77777777" w:rsidTr="00811E8A">
        <w:trPr>
          <w:cantSplit/>
          <w:trHeight w:val="54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061A7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结课考核</w:t>
            </w:r>
          </w:p>
          <w:p w14:paraId="34DF13B1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试卷评阅</w:t>
            </w:r>
          </w:p>
          <w:p w14:paraId="6D0346D6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与</w:t>
            </w:r>
          </w:p>
          <w:p w14:paraId="31C18245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成绩评定</w:t>
            </w:r>
          </w:p>
          <w:p w14:paraId="67AF54B9" w14:textId="77777777" w:rsidR="003951F2" w:rsidRPr="00A83848" w:rsidRDefault="003951F2" w:rsidP="004F6222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8384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23E3C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阅卷规范性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566" w14:textId="77777777" w:rsidR="003951F2" w:rsidRPr="00B84D0D" w:rsidRDefault="003951F2" w:rsidP="00574EBB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严格按照参考答案和评分标准评阅试卷；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人工阅卷时，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一律用红色水笔评阅，字体清晰，阅卷采用给分制，要点分、题首分、卷首分齐全、准确，无错判、漏判现象，记分、核分、总分无错误；无随意加减分或改分现象，阅卷与核分改动有教师签名。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计算机自动评分时，评分系统应事先经过测试与教学单位审批。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61E" w14:textId="5FAD881E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4E8E2" w14:textId="77777777" w:rsidR="003951F2" w:rsidRPr="001544B3" w:rsidRDefault="003951F2" w:rsidP="007264B6">
            <w:pPr>
              <w:adjustRightInd/>
              <w:spacing w:after="0" w:line="220" w:lineRule="exac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6F35F90B" w14:textId="77777777" w:rsidTr="00811E8A">
        <w:trPr>
          <w:cantSplit/>
          <w:trHeight w:val="562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6D5ACB2E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933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成绩评定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C2C" w14:textId="77777777" w:rsidR="003951F2" w:rsidRPr="00B84D0D" w:rsidRDefault="003951F2" w:rsidP="00811E8A">
            <w:pPr>
              <w:pStyle w:val="a7"/>
              <w:snapToGrid w:val="0"/>
              <w:spacing w:after="0" w:line="220" w:lineRule="exact"/>
              <w:contextualSpacing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课程总评成绩由平时成绩和结课考核成绩综合评定，平时成绩占比原则上不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低于</w:t>
            </w:r>
            <w:r w:rsidRPr="00B84D0D">
              <w:rPr>
                <w:rFonts w:ascii="楷体" w:eastAsia="楷体" w:hAnsi="楷体"/>
                <w:kern w:val="0"/>
                <w:sz w:val="18"/>
                <w:szCs w:val="18"/>
              </w:rPr>
              <w:t>30%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，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结课考核成绩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占比原则上不高于</w:t>
            </w:r>
            <w:r w:rsidRPr="00B84D0D">
              <w:rPr>
                <w:rFonts w:ascii="楷体" w:eastAsia="楷体" w:hAnsi="楷体"/>
                <w:kern w:val="0"/>
                <w:sz w:val="18"/>
                <w:szCs w:val="18"/>
              </w:rPr>
              <w:t>70%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DB3C" w14:textId="1F4BD904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1722C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24ECAC17" w14:textId="77777777" w:rsidTr="00811E8A">
        <w:trPr>
          <w:cantSplit/>
          <w:trHeight w:val="558"/>
          <w:jc w:val="center"/>
        </w:trPr>
        <w:tc>
          <w:tcPr>
            <w:tcW w:w="10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00CE4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DE7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试卷分析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DCD" w14:textId="77777777" w:rsidR="003951F2" w:rsidRPr="00B84D0D" w:rsidRDefault="003951F2" w:rsidP="00811E8A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认真填写《河北大学课程考核试卷分析表》，内容全面具体，数据统计准确，问题分析透彻，建议和改进措施有针对性。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C4DE" w14:textId="3BD13A6E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B58DC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3E069DA" w14:textId="77777777" w:rsidTr="00811E8A">
        <w:trPr>
          <w:cantSplit/>
          <w:trHeight w:val="409"/>
          <w:jc w:val="center"/>
        </w:trPr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2C2BA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平时考核</w:t>
            </w:r>
          </w:p>
          <w:p w14:paraId="67452146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（</w:t>
            </w:r>
            <w:r w:rsidRPr="00A83848">
              <w:rPr>
                <w:sz w:val="21"/>
                <w:szCs w:val="21"/>
              </w:rPr>
              <w:t>10</w:t>
            </w:r>
            <w:r w:rsidRPr="00A83848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1D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考核类型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5C7" w14:textId="77777777" w:rsidR="003951F2" w:rsidRPr="00B84D0D" w:rsidRDefault="003951F2" w:rsidP="00811E8A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考核类型多样，具有三种及以上考核类型。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396" w14:textId="64BB6ED7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6EF1F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B008177" w14:textId="77777777" w:rsidTr="00811E8A">
        <w:trPr>
          <w:cantSplit/>
          <w:trHeight w:val="555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820" w14:textId="77777777" w:rsidR="003951F2" w:rsidRPr="00A83848" w:rsidRDefault="003951F2" w:rsidP="002C399C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试卷管理</w:t>
            </w:r>
          </w:p>
          <w:p w14:paraId="3E2954B4" w14:textId="77777777" w:rsidR="003951F2" w:rsidRPr="00A83848" w:rsidRDefault="003951F2" w:rsidP="002C399C">
            <w:pPr>
              <w:pStyle w:val="2"/>
              <w:snapToGrid w:val="0"/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（</w:t>
            </w:r>
            <w:r w:rsidRPr="00A83848">
              <w:rPr>
                <w:sz w:val="21"/>
                <w:szCs w:val="21"/>
              </w:rPr>
              <w:t>10</w:t>
            </w:r>
            <w:r w:rsidRPr="00A83848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642" w14:textId="77777777" w:rsidR="003951F2" w:rsidRPr="00B84D0D" w:rsidRDefault="003951F2" w:rsidP="002C399C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材料归档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CCA" w14:textId="77777777" w:rsidR="003951F2" w:rsidRPr="00B84D0D" w:rsidRDefault="003951F2" w:rsidP="00D86C47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课程考核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的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归档材料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（纸介试卷、试卷袋；命题审批表；参考答案及评分标准；《考场情况报告单》；《河北大学本科生平时成绩登记表》；《河北大学学生成绩登记表》；《河北大学课程考核试卷分析表》；</w:t>
            </w:r>
            <w:r w:rsidR="00D86C47" w:rsidRPr="00B84D0D">
              <w:rPr>
                <w:rFonts w:ascii="楷体" w:eastAsia="楷体" w:hAnsi="楷体"/>
                <w:sz w:val="18"/>
                <w:szCs w:val="18"/>
              </w:rPr>
              <w:t>A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、</w:t>
            </w:r>
            <w:r w:rsidR="00D86C47" w:rsidRPr="00B84D0D">
              <w:rPr>
                <w:rFonts w:ascii="楷体" w:eastAsia="楷体" w:hAnsi="楷体"/>
                <w:sz w:val="18"/>
                <w:szCs w:val="18"/>
              </w:rPr>
              <w:t>B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套试卷样卷；考生答卷；自评分析报告；评价表）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齐全，归档符合学校规范要求。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0EA" w14:textId="059828FE" w:rsidR="003951F2" w:rsidRPr="001544B3" w:rsidRDefault="003951F2" w:rsidP="002C399C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5F18D" w14:textId="77777777" w:rsidR="003951F2" w:rsidRPr="001544B3" w:rsidRDefault="003951F2" w:rsidP="002C399C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6615B4C" w14:textId="77777777" w:rsidTr="00811E8A">
        <w:trPr>
          <w:cantSplit/>
          <w:trHeight w:val="476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ADD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sz w:val="21"/>
                <w:szCs w:val="21"/>
              </w:rPr>
              <w:t xml:space="preserve"> </w:t>
            </w:r>
            <w:r w:rsidRPr="00A83848">
              <w:rPr>
                <w:rFonts w:hint="eastAsia"/>
                <w:sz w:val="21"/>
                <w:szCs w:val="21"/>
              </w:rPr>
              <w:t>评价人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B35" w14:textId="77777777" w:rsidR="003951F2" w:rsidRPr="001544B3" w:rsidRDefault="003951F2" w:rsidP="007264B6">
            <w:pPr>
              <w:spacing w:after="0" w:line="240" w:lineRule="atLeas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1544B3"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1CF" w14:textId="77777777" w:rsidR="003951F2" w:rsidRPr="00CC59D0" w:rsidRDefault="003951F2" w:rsidP="00CC59D0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CC59D0">
              <w:rPr>
                <w:rFonts w:hint="eastAsia"/>
                <w:sz w:val="21"/>
                <w:szCs w:val="21"/>
              </w:rPr>
              <w:t>评价等级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F11" w14:textId="77777777" w:rsidR="003951F2" w:rsidRPr="00CC59D0" w:rsidRDefault="003951F2" w:rsidP="00CC59D0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C75" w14:textId="77777777" w:rsidR="003951F2" w:rsidRPr="00CC59D0" w:rsidRDefault="003951F2" w:rsidP="00CC59D0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CC59D0">
              <w:rPr>
                <w:rFonts w:hint="eastAsia"/>
                <w:sz w:val="21"/>
                <w:szCs w:val="21"/>
              </w:rPr>
              <w:t>总分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CF2F4" w14:textId="77777777" w:rsidR="003951F2" w:rsidRPr="001544B3" w:rsidRDefault="003951F2" w:rsidP="007264B6">
            <w:pPr>
              <w:adjustRightInd/>
              <w:spacing w:after="0" w:line="240" w:lineRule="atLeas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EE05DAE" w14:textId="77777777" w:rsidTr="00D86C47">
        <w:trPr>
          <w:cantSplit/>
          <w:trHeight w:val="2341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897" w14:textId="77777777" w:rsidR="003951F2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 w14:paraId="456B5493" w14:textId="77777777" w:rsidR="003951F2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问题</w:t>
            </w:r>
          </w:p>
          <w:p w14:paraId="41985C53" w14:textId="77777777" w:rsidR="003951F2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与</w:t>
            </w:r>
          </w:p>
          <w:p w14:paraId="0D1ABC97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建议</w:t>
            </w:r>
          </w:p>
        </w:tc>
        <w:tc>
          <w:tcPr>
            <w:tcW w:w="8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19790" w14:textId="77777777" w:rsidR="003951F2" w:rsidRPr="001544B3" w:rsidRDefault="003951F2" w:rsidP="007264B6">
            <w:pPr>
              <w:adjustRightInd/>
              <w:spacing w:after="0" w:line="240" w:lineRule="atLeas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</w:tbl>
    <w:p w14:paraId="0076CB69" w14:textId="77777777" w:rsidR="00BC1FEE" w:rsidRPr="00A83848" w:rsidRDefault="003951F2" w:rsidP="00BC1FEE">
      <w:pPr>
        <w:wordWrap w:val="0"/>
        <w:adjustRightInd/>
        <w:spacing w:after="0" w:line="360" w:lineRule="auto"/>
        <w:jc w:val="righ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/>
          <w:sz w:val="18"/>
          <w:szCs w:val="18"/>
        </w:rPr>
        <w:t xml:space="preserve">  </w:t>
      </w:r>
      <w:r w:rsidR="00BC1FEE">
        <w:rPr>
          <w:rFonts w:ascii="楷体_GB2312" w:eastAsia="楷体_GB2312" w:hAnsi="宋体" w:hint="eastAsia"/>
          <w:sz w:val="18"/>
          <w:szCs w:val="18"/>
        </w:rPr>
        <w:t xml:space="preserve">  </w:t>
      </w:r>
      <w:r w:rsidR="00BC1FEE" w:rsidRPr="00841C64">
        <w:rPr>
          <w:rFonts w:ascii="楷体_GB2312" w:eastAsia="楷体_GB2312" w:hAnsi="宋体" w:hint="eastAsia"/>
          <w:sz w:val="18"/>
          <w:szCs w:val="18"/>
        </w:rPr>
        <w:t>教育教学质量评估</w:t>
      </w:r>
      <w:r w:rsidR="00BC1FEE">
        <w:rPr>
          <w:rFonts w:ascii="楷体_GB2312" w:eastAsia="楷体_GB2312" w:hAnsi="宋体" w:hint="eastAsia"/>
          <w:sz w:val="18"/>
          <w:szCs w:val="18"/>
        </w:rPr>
        <w:t>与教师发展</w:t>
      </w:r>
      <w:r w:rsidR="00BC1FEE" w:rsidRPr="00841C64">
        <w:rPr>
          <w:rFonts w:ascii="楷体_GB2312" w:eastAsia="楷体_GB2312" w:hAnsi="宋体" w:hint="eastAsia"/>
          <w:sz w:val="18"/>
          <w:szCs w:val="18"/>
        </w:rPr>
        <w:t>中心制</w:t>
      </w:r>
      <w:r w:rsidR="00BC1FEE">
        <w:rPr>
          <w:rFonts w:ascii="楷体_GB2312" w:eastAsia="楷体_GB2312" w:hAnsi="宋体" w:hint="eastAsia"/>
          <w:sz w:val="18"/>
          <w:szCs w:val="18"/>
        </w:rPr>
        <w:t>表</w:t>
      </w:r>
    </w:p>
    <w:p w14:paraId="68661D89" w14:textId="77777777" w:rsidR="003951F2" w:rsidRPr="00BC1FEE" w:rsidRDefault="003951F2" w:rsidP="00BC1FEE">
      <w:pPr>
        <w:wordWrap w:val="0"/>
        <w:adjustRightInd/>
        <w:spacing w:after="0" w:line="360" w:lineRule="auto"/>
        <w:jc w:val="right"/>
        <w:rPr>
          <w:rFonts w:ascii="楷体_GB2312" w:eastAsia="楷体_GB2312" w:hAnsi="宋体"/>
          <w:sz w:val="18"/>
          <w:szCs w:val="18"/>
        </w:rPr>
      </w:pPr>
    </w:p>
    <w:sectPr w:rsidR="003951F2" w:rsidRPr="00BC1FEE" w:rsidSect="00D74A3F">
      <w:pgSz w:w="11907" w:h="16840" w:code="9"/>
      <w:pgMar w:top="1588" w:right="158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6726" w14:textId="77777777" w:rsidR="00953D98" w:rsidRDefault="00953D98" w:rsidP="00E4500A">
      <w:pPr>
        <w:spacing w:after="0"/>
      </w:pPr>
      <w:r>
        <w:separator/>
      </w:r>
    </w:p>
  </w:endnote>
  <w:endnote w:type="continuationSeparator" w:id="0">
    <w:p w14:paraId="368D1F87" w14:textId="77777777" w:rsidR="00953D98" w:rsidRDefault="00953D98" w:rsidP="00E45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4537" w14:textId="77777777" w:rsidR="00953D98" w:rsidRDefault="00953D98" w:rsidP="00E4500A">
      <w:pPr>
        <w:spacing w:after="0"/>
      </w:pPr>
      <w:r>
        <w:separator/>
      </w:r>
    </w:p>
  </w:footnote>
  <w:footnote w:type="continuationSeparator" w:id="0">
    <w:p w14:paraId="25E773B3" w14:textId="77777777" w:rsidR="00953D98" w:rsidRDefault="00953D98" w:rsidP="00E450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0A"/>
    <w:rsid w:val="0001233B"/>
    <w:rsid w:val="000434C5"/>
    <w:rsid w:val="00070B06"/>
    <w:rsid w:val="00085FAA"/>
    <w:rsid w:val="000874CD"/>
    <w:rsid w:val="000D3377"/>
    <w:rsid w:val="0010144E"/>
    <w:rsid w:val="001544B3"/>
    <w:rsid w:val="00196D08"/>
    <w:rsid w:val="001C14BD"/>
    <w:rsid w:val="001F3E34"/>
    <w:rsid w:val="001F47CC"/>
    <w:rsid w:val="002252F6"/>
    <w:rsid w:val="0023564B"/>
    <w:rsid w:val="00257BED"/>
    <w:rsid w:val="002A346E"/>
    <w:rsid w:val="002A6D4D"/>
    <w:rsid w:val="002B3086"/>
    <w:rsid w:val="002C399C"/>
    <w:rsid w:val="00311FF5"/>
    <w:rsid w:val="00357E48"/>
    <w:rsid w:val="003662D8"/>
    <w:rsid w:val="003951F2"/>
    <w:rsid w:val="003C1A2C"/>
    <w:rsid w:val="004153B1"/>
    <w:rsid w:val="00462941"/>
    <w:rsid w:val="004B3354"/>
    <w:rsid w:val="004C0B91"/>
    <w:rsid w:val="004F6222"/>
    <w:rsid w:val="005001C1"/>
    <w:rsid w:val="00504F4E"/>
    <w:rsid w:val="00507635"/>
    <w:rsid w:val="00547FB2"/>
    <w:rsid w:val="00574EBB"/>
    <w:rsid w:val="00575EC5"/>
    <w:rsid w:val="00591197"/>
    <w:rsid w:val="0059501F"/>
    <w:rsid w:val="005C2048"/>
    <w:rsid w:val="005D7131"/>
    <w:rsid w:val="005E6CE3"/>
    <w:rsid w:val="00606A06"/>
    <w:rsid w:val="006234A2"/>
    <w:rsid w:val="00630ED6"/>
    <w:rsid w:val="00633381"/>
    <w:rsid w:val="00636C7A"/>
    <w:rsid w:val="006779E8"/>
    <w:rsid w:val="006F114C"/>
    <w:rsid w:val="007242A9"/>
    <w:rsid w:val="007264B6"/>
    <w:rsid w:val="007407F7"/>
    <w:rsid w:val="00781A5E"/>
    <w:rsid w:val="007A4212"/>
    <w:rsid w:val="007D4878"/>
    <w:rsid w:val="007D7440"/>
    <w:rsid w:val="007E125D"/>
    <w:rsid w:val="007E1C77"/>
    <w:rsid w:val="00805E7B"/>
    <w:rsid w:val="00811E8A"/>
    <w:rsid w:val="00841C64"/>
    <w:rsid w:val="00874DDD"/>
    <w:rsid w:val="00895532"/>
    <w:rsid w:val="00925F00"/>
    <w:rsid w:val="00953D98"/>
    <w:rsid w:val="009A020D"/>
    <w:rsid w:val="00A345D5"/>
    <w:rsid w:val="00A83848"/>
    <w:rsid w:val="00A90EEC"/>
    <w:rsid w:val="00AF241C"/>
    <w:rsid w:val="00B16043"/>
    <w:rsid w:val="00B84D0D"/>
    <w:rsid w:val="00B907EB"/>
    <w:rsid w:val="00BC1FEE"/>
    <w:rsid w:val="00BE04F4"/>
    <w:rsid w:val="00C4449E"/>
    <w:rsid w:val="00CC59D0"/>
    <w:rsid w:val="00D31E61"/>
    <w:rsid w:val="00D47664"/>
    <w:rsid w:val="00D5476B"/>
    <w:rsid w:val="00D74A3F"/>
    <w:rsid w:val="00D852BC"/>
    <w:rsid w:val="00D86C47"/>
    <w:rsid w:val="00D954D1"/>
    <w:rsid w:val="00DE5E35"/>
    <w:rsid w:val="00E02619"/>
    <w:rsid w:val="00E4500A"/>
    <w:rsid w:val="00E9002F"/>
    <w:rsid w:val="00EB6E8A"/>
    <w:rsid w:val="00EC4897"/>
    <w:rsid w:val="00EC50CC"/>
    <w:rsid w:val="00F037E2"/>
    <w:rsid w:val="00F06000"/>
    <w:rsid w:val="00F12EF9"/>
    <w:rsid w:val="00F2061C"/>
    <w:rsid w:val="00F42D4D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0E2A8"/>
  <w15:docId w15:val="{B87C4BDC-4E32-413E-BD12-45D2866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00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50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4500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4500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E4500A"/>
    <w:rPr>
      <w:rFonts w:cs="Times New Roman"/>
      <w:sz w:val="18"/>
      <w:szCs w:val="18"/>
    </w:rPr>
  </w:style>
  <w:style w:type="paragraph" w:styleId="2">
    <w:name w:val="Body Text 2"/>
    <w:basedOn w:val="a"/>
    <w:link w:val="20"/>
    <w:uiPriority w:val="99"/>
    <w:rsid w:val="00E4500A"/>
    <w:pPr>
      <w:widowControl w:val="0"/>
      <w:adjustRightInd/>
      <w:snapToGrid/>
      <w:spacing w:after="0" w:line="500" w:lineRule="exact"/>
      <w:jc w:val="center"/>
    </w:pPr>
    <w:rPr>
      <w:rFonts w:ascii="黑体" w:eastAsia="黑体" w:hAnsi="宋体"/>
      <w:b/>
      <w:bCs/>
      <w:kern w:val="2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locked/>
    <w:rsid w:val="00E4500A"/>
    <w:rPr>
      <w:rFonts w:ascii="黑体" w:eastAsia="黑体" w:hAnsi="宋体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E4500A"/>
    <w:pPr>
      <w:widowControl w:val="0"/>
      <w:adjustRightInd/>
      <w:snapToGrid/>
      <w:spacing w:after="12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8">
    <w:name w:val="正文文本 字符"/>
    <w:basedOn w:val="a0"/>
    <w:link w:val="a7"/>
    <w:uiPriority w:val="99"/>
    <w:locked/>
    <w:rsid w:val="00E4500A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E4500A"/>
    <w:rPr>
      <w:rFonts w:eastAsia="微软雅黑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3C1A2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93496"/>
    <w:rPr>
      <w:rFonts w:ascii="Tahoma" w:eastAsia="微软雅黑" w:hAnsi="Tahoma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附件1-1</dc:title>
  <dc:creator>lenovo</dc:creator>
  <cp:lastModifiedBy>孙洪溥</cp:lastModifiedBy>
  <cp:revision>5</cp:revision>
  <cp:lastPrinted>2017-03-20T01:32:00Z</cp:lastPrinted>
  <dcterms:created xsi:type="dcterms:W3CDTF">2018-03-13T00:46:00Z</dcterms:created>
  <dcterms:modified xsi:type="dcterms:W3CDTF">2021-11-18T03:06:00Z</dcterms:modified>
</cp:coreProperties>
</file>